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CA" w:rsidRPr="0033547C" w:rsidRDefault="00890CCA" w:rsidP="00890CC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color w:val="663300"/>
          <w:sz w:val="24"/>
          <w:szCs w:val="24"/>
          <w:lang w:eastAsia="es-ES_tradnl"/>
        </w:rPr>
        <w:t>BENEDICTO</w:t>
      </w:r>
      <w:r w:rsidR="0033547C" w:rsidRPr="0033547C">
        <w:rPr>
          <w:rFonts w:asciiTheme="majorHAnsi" w:eastAsia="Times New Roman" w:hAnsiTheme="majorHAnsi" w:cs="Times New Roman"/>
          <w:b/>
          <w:bCs/>
          <w:color w:val="663300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color w:val="663300"/>
          <w:sz w:val="24"/>
          <w:szCs w:val="24"/>
          <w:lang w:eastAsia="es-ES_tradnl"/>
        </w:rPr>
        <w:t>XVI</w:t>
      </w:r>
    </w:p>
    <w:p w:rsidR="00890CCA" w:rsidRPr="0033547C" w:rsidRDefault="00890CCA" w:rsidP="00890CC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i/>
          <w:iCs/>
          <w:color w:val="663300"/>
          <w:sz w:val="24"/>
          <w:szCs w:val="24"/>
          <w:lang w:eastAsia="es-ES_tradnl"/>
        </w:rPr>
        <w:t>Motu</w:t>
      </w:r>
      <w:r w:rsidR="0033547C" w:rsidRPr="0033547C">
        <w:rPr>
          <w:rFonts w:asciiTheme="majorHAnsi" w:eastAsia="Times New Roman" w:hAnsiTheme="majorHAnsi" w:cs="Times New Roman"/>
          <w:i/>
          <w:iCs/>
          <w:color w:val="663300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color w:val="663300"/>
          <w:sz w:val="24"/>
          <w:szCs w:val="24"/>
          <w:lang w:eastAsia="es-ES_tradnl"/>
        </w:rPr>
        <w:t>Proprio</w:t>
      </w:r>
      <w:r w:rsidR="0033547C"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>sobre</w:t>
      </w:r>
      <w:r w:rsidR="0033547C"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>el</w:t>
      </w:r>
    </w:p>
    <w:p w:rsidR="00890CCA" w:rsidRPr="0033547C" w:rsidRDefault="00890CCA" w:rsidP="00890CC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color w:val="663300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b/>
          <w:bCs/>
          <w:color w:val="663300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color w:val="663300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b/>
          <w:bCs/>
          <w:color w:val="663300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color w:val="663300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b/>
          <w:bCs/>
          <w:color w:val="663300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color w:val="663300"/>
          <w:sz w:val="24"/>
          <w:szCs w:val="24"/>
          <w:lang w:eastAsia="es-ES_tradnl"/>
        </w:rPr>
        <w:t>CARIDAD</w:t>
      </w:r>
    </w:p>
    <w:p w:rsidR="00890CCA" w:rsidRPr="0033547C" w:rsidRDefault="00890CCA" w:rsidP="00890CC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Proemio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«La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naturaleza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íntima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expresa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triple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tarea: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anuncio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Palabra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(</w:t>
      </w:r>
      <w:proofErr w:type="spellStart"/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kerygma-martyria</w:t>
      </w:r>
      <w:proofErr w:type="spellEnd"/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),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celebración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Sacramentos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(</w:t>
      </w:r>
      <w:proofErr w:type="spellStart"/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leiturgia</w:t>
      </w:r>
      <w:proofErr w:type="spellEnd"/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)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(</w:t>
      </w:r>
      <w:proofErr w:type="spellStart"/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diakonia</w:t>
      </w:r>
      <w:proofErr w:type="spellEnd"/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).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tareas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implican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mutuamente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pueden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separarse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otra»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(Carta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proofErr w:type="spellStart"/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enc</w:t>
      </w:r>
      <w:proofErr w:type="spellEnd"/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hyperlink r:id="rId5" w:history="1"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Deus</w:t>
        </w:r>
        <w:r w:rsidR="0033547C"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 xml:space="preserve"> </w:t>
        </w:r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caritas</w:t>
        </w:r>
        <w:r w:rsidR="0033547C"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 xml:space="preserve"> </w:t>
        </w:r>
        <w:proofErr w:type="spellStart"/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est</w:t>
        </w:r>
        <w:proofErr w:type="spellEnd"/>
      </w:hyperlink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25).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también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dimensión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constitutiva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misión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expresión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irrenunciable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propia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esencia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(cf.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ibíd.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);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todos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tienen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derecho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implicarse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personalmente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vivir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mandamiento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nuevo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Cristo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dejó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(cf.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proofErr w:type="spellStart"/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Jn</w:t>
      </w:r>
      <w:proofErr w:type="spellEnd"/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15,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12),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brindando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hombre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contemporáneo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sólo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sustento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material,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también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sosiego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uidado del alma (cf. Carta </w:t>
      </w:r>
      <w:proofErr w:type="spellStart"/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enc</w:t>
      </w:r>
      <w:proofErr w:type="spellEnd"/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. </w:t>
      </w:r>
      <w:hyperlink r:id="rId6" w:history="1"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Deus</w:t>
        </w:r>
        <w:r w:rsidR="0033547C"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 xml:space="preserve"> </w:t>
        </w:r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caritas</w:t>
        </w:r>
        <w:r w:rsidR="0033547C"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 xml:space="preserve"> </w:t>
        </w:r>
        <w:proofErr w:type="spellStart"/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est</w:t>
        </w:r>
        <w:proofErr w:type="spellEnd"/>
      </w:hyperlink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28).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Asimismo,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está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llamada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ejercer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proofErr w:type="spellStart"/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diakonia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proofErr w:type="spellEnd"/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dimensión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comunitaria,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desde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pequeñas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comunidades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locales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particulares,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hasta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abarcar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universal;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necesita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también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«una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organización,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presupuesto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comunitario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ordenado»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(cf.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ibíd.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20),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organización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vez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articula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mediante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expresiones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institucionales.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propósito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proofErr w:type="spellStart"/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diakonia</w:t>
      </w:r>
      <w:proofErr w:type="spellEnd"/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encíclica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hyperlink r:id="rId7" w:history="1"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Deus</w:t>
        </w:r>
        <w:r w:rsidR="0033547C"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 xml:space="preserve"> </w:t>
        </w:r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caritas</w:t>
        </w:r>
        <w:r w:rsidR="0033547C"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 xml:space="preserve"> </w:t>
        </w:r>
        <w:proofErr w:type="spellStart"/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est</w:t>
        </w:r>
        <w:proofErr w:type="spellEnd"/>
      </w:hyperlink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señalé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«es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propio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estructura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episcopal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sucesores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Apóstoles,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tengan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particulares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primera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responsabilidad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cumplir»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(n.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32),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observaba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«el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Código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Derecho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Canónico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cánones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relativos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ministerio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episcopal,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habla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expresamente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ámbito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específico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actividad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episcopal»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(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ibíd.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).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Aunque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«el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hyperlink r:id="rId8" w:history="1"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Directorio</w:t>
        </w:r>
        <w:r w:rsidR="0033547C"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 xml:space="preserve"> </w:t>
        </w:r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para</w:t>
        </w:r>
        <w:r w:rsidR="0033547C"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 xml:space="preserve"> </w:t>
        </w:r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el</w:t>
        </w:r>
        <w:r w:rsidR="0033547C"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 xml:space="preserve"> </w:t>
        </w:r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ministerio</w:t>
        </w:r>
        <w:r w:rsidR="0033547C"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 xml:space="preserve"> </w:t>
        </w:r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pastoral</w:t>
        </w:r>
        <w:r w:rsidR="0033547C"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 xml:space="preserve"> </w:t>
        </w:r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de</w:t>
        </w:r>
        <w:r w:rsidR="0033547C"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 xml:space="preserve"> </w:t>
        </w:r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los</w:t>
        </w:r>
        <w:r w:rsidR="0033547C"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 xml:space="preserve"> </w:t>
        </w:r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Obispos</w:t>
        </w:r>
      </w:hyperlink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profundizado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más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concretamente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cometido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intrínseco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toda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diócesis»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(ibíd.),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cualquier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caso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necesario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colmar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dicha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laguna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normativa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expresar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adecuadamente,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ordenamiento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canónico,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carácter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esencial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relación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constitutiva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ministerio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episcopal,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trazando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perfiles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jurídicos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conlleva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especialmente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presta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manera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organizada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sostén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explícito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Pastores.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Desde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perspectiva,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tanto,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presente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Motu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proprio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deseo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proporcionar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marco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normativo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orgánico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sirva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ordenar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mejor,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líneas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generales,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distintas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formas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eclesiales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organizadas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está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estrechamente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vinculada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naturaleza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diaconal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ministerio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episcopal.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tener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muy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presente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«la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actuación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práctica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resulta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insuficiente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puede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percibir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amor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hombre,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amor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alimenta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encuentro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Cristo»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(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ibíd.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34).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tanto,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actividad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caritativa,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numerosas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organizaciones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católicas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limitarse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mera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recogida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distribución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fondos,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prestar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siempre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especial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atención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persona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encuentra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situación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necesidad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llevar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cabo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asimismo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preciosa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función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pedagógica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comunidad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cristiana,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favoreciendo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educación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solidaridad,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amor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según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lógica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Evangelio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Cristo.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efecto,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todos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ámbitos,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actividad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caritativa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evitar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riesgo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diluirse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lastRenderedPageBreak/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organización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asistencial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genérica,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convirtiéndose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simplemente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variantes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(cf.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ibíd.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31).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organizadas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promueven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sector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distintos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lugares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muy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diferentes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entre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requieren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gestión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apropiada.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modo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particular,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desarrollado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ámbito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parroquial,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nacional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internacional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actividad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«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Caritas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»,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institución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promovida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Jerarquía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eclesiástica,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ganado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justamente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aprecio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confianza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muchas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otras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personas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todo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mundo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generoso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coherente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testimonio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fe,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así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concreción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hora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responder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peticiones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personas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necesitadas.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Junto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amplia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sostenida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oficialmente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surgido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diferentes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lugares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otras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múltiples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nacen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libre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compromiso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quieren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contribuir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diferentes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maneras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esfuerzo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testimoniar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concretamente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personas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necesitadas.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otras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distintas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cuanto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origen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régimen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jurídico,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aunque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expresan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igualmente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sensibilidad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deseo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responder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misma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llamada.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cuanto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institución,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puede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ajena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promueven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modo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organizado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libre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expresión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solicitud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bautizados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personas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pueblos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necesitados.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Pastores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acogerlas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siempre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manifestación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participación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todos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misión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respetando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características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autonomía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gobierno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según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naturaleza,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competen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manifestación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libertad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bautizados.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Junto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ellas,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eclesiástica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promovido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propia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obras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específicas,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través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cuales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provee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institucionalmente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encauzar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donaciones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según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formas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jurídicas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operativas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adecuadas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permitan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llegar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resolver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más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eficacia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necesidades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concretas.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embargo,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medida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dichas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actividades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promueva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propia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Jerarquía,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cuenten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explícitamente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apoyo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Pastores,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preciso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garantizar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gestión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lleve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cabo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acuerdo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exigencias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enseñanzas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intenciones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respeten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asimismo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normas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legítimas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emanadas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civil.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Frente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exigencias,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necesario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determinar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derecho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algunas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normas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esenciales,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inspiradas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criterios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generales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disciplina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canónica,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explicitaran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sector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actividades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responsabilidades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jurídicas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asumen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materia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diversos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sujetos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implicados,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delineando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particular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posición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coordinación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corresponde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diocesano.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Dichas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normas,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embargo,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debían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tener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amplitud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suficiente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comprender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apreciable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variedad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instituciones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inspiración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católica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cuanto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tales,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actúan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sector,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nacieron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impulso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Jerarquía,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surgieron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directa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Pastores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lugar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acogieron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alentaron.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bien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necesario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establecer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normas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respecto,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preciso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vez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tener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cuenta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cuanto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requiere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justicia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responsabilidad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Pastores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asumen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frente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respetando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legítima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autonomía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ente.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Parte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dispositiva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consiguiente,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propuesta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Emmo.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Presidente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Consejo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Pontificio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«</w:t>
      </w:r>
      <w:proofErr w:type="spellStart"/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Cor</w:t>
      </w:r>
      <w:proofErr w:type="spellEnd"/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proofErr w:type="spellStart"/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Unum</w:t>
      </w:r>
      <w:proofErr w:type="spellEnd"/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»,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tras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haber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escuchado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parecer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Consejo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Pontificio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Textos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Legislativos,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establezco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decreto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siguiente: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lastRenderedPageBreak/>
        <w:t>Art.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1.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-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tienen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derecho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asociarse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instituir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lleven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cabo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específicos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especialmente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favor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pobres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sufren.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medida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estén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vinculados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Pastores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y/o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motivo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quieran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valerse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contribución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someter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Estatutos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aprobación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eclesiástica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competente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observar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normas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siguen.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mismos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términos,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también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derecho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constituir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fundaciones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financiar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caritativas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concretas,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según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normas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cánones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1303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CIC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1047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CCEO.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tipo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fundaciones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respondiese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características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indicadas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observarán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proofErr w:type="spellStart"/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asimismo</w:t>
      </w:r>
      <w:proofErr w:type="gramStart"/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,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congrua</w:t>
      </w:r>
      <w:proofErr w:type="spellEnd"/>
      <w:proofErr w:type="gramEnd"/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proofErr w:type="spellStart"/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congruis</w:t>
      </w:r>
      <w:proofErr w:type="spellEnd"/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referendo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disposiciones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presente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ley.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Además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observar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legislación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canónica,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colectivas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cuales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hace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referencia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presente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Motu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Proprio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seguir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actividad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principios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católicos,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pueden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aceptar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compromisos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cierta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medida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puedan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condicionar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observancia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dichos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principios.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4.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fundaciones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promueven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Institutos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consagrada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Sociedades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apostólica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están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sujetos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observancia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presentes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normas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seguir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cuanto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establecido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cánones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312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CIC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575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CCEO.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2.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-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Estatutos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caritativo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hace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referencia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artículo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anterior,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además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cargos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institucionales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estructuras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gobierno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según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can.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95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CIC,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también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expresarán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principios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inspiradores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finalidades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modalidades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gestión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fondos,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perfil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propios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agentes,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así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relaciones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informaciones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presentar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eclesiástica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competente.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caritativo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puede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usar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denominación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«católico»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sólo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consentimiento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escrito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competente,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indica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can.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300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CIC.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finalidad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caritativa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promueven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pueden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tener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Asistente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eclesiástico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nombrado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arreglo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Estatutos,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conformemente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cánones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324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317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CIC.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4.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mismo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tiempo,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eclesiástica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deberá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tener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presente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regular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ejercicio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derechos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tenor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cánones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223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CIC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26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CCEO,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evitar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multiplicarse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detrimento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operatividad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eficacia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respecto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finalidades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proponen.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3.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-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efectos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artículos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anteriores,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entiende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competente,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proofErr w:type="gramStart"/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proofErr w:type="gramEnd"/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respectivos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niveles,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indica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cánones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312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CIC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575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CCEO.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trata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aprobados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ámbito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nacional,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aunque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trabajen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varias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diócesis,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entiende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competente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lugar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encuentre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principal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dicho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ente.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cualquier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caso,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organización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tiene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informar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demás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diócesis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cuales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lleva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cabo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labor,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respetar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indicaciones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relación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actividades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distintas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entidades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caritativas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presentes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diócesis.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lastRenderedPageBreak/>
        <w:t>Art.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4.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-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(cf.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can.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134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CIC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can.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987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CCEO)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ejerce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solicitud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pastoral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particular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tiene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encomendada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Pastor,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guía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primer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responsable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favorece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sostiene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obras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prójimo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particular,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suscita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fervor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laboriosa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expresión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cristiana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participación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misión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señala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cánones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215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222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CIC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25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18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CCEO.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Corresponde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respectivo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vigilar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actividad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gestión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observen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siempre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normas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derecho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universal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particular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así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voluntades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hayan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hecho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donaciones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dejado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herencias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finalidades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específicas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(cf.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cánones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1300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CIC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1044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CCEO).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5.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-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asegurar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derecho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ejercer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cuidar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instituciones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bajo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vigilancia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observen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legislación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civil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legítima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materia.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6.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–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tarea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indican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cánones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394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CIC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203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CCEO,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coordinar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circunscripción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diversas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obras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promueve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Jerarquía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misma,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responden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respetando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autonomía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fuese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otorgada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conformemente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Estatutos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particular,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vele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actividades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mantengan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vivo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espíritu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evangélico.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7.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-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entidades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hace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referencia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seleccionar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agentes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entre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personas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compartan,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menos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respeten,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identidad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católica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obras.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garantizar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testimonio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evangélico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velar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quienes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trabajan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pastoral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caritativa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además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debida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competencia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profesional,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ejemplo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cristiana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prueba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formación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corazón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testimonie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actúa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objetivo,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provea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formación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también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ámbito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teológico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pastoral,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específicos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proofErr w:type="spellStart"/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curricula</w:t>
      </w:r>
      <w:proofErr w:type="spellEnd"/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concertados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directivos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varios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propuestas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adecuadas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espiritual.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8.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–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Donde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fuese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necesario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número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variedad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establecer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encomendado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oficina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nombre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oriente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coordine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9.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-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favorecer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creación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parroquia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circunscripción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«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Caritas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»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parroquial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análogo,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promueva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asimismo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pedagógica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ámbito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toda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comunidad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educar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espíritu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generosa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auténtica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fuera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oportuno,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dicho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constituirá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común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varias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parroquias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mismo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territorio.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Corresponde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párroco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respectivo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asegurar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ámbito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parroquia,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junto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«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Caritas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»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puedan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coexistir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desarrollarse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otras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bajo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coordinación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general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párroco,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bien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teniendo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cuenta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cuanto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indicado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4.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lastRenderedPageBreak/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respectivos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párrocos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evitar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materia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induzca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error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malentendidos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impedir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través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estructuras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parroquiales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haga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publicidad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aunque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presenten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finalidades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propongan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opciones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métodos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contrarios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enseñanzas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10.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-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Corresponde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vigilancia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sobre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bienes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eclesiásticos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caritativos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sujetos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autoridad.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asegurarse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ingresos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provenientes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colectas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realicen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conformidad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cánones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1265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1266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CIC,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cánones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1014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1015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CCEO,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destinen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finalidades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cuales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recogido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(cánones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1267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CIC,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1016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CCEO).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particular,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evitar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sujetos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cargo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reciban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financiación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entidades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instituciones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persiguen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contraste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doctrina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Análogamente,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escándalo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evitar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dichos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caritativos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acepten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contribuciones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medios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alcanzarlos,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estén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acuerdo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doctrina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4.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modo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particular,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cuidar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gestión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dependen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él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testimonio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sobriedad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cristiana.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vigilar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sueldos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gastos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gestión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respondan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exigencias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justicia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necesarios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perfiles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profesionales,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vez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debidamente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proporcionados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gastos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análogos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propia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Curia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diocesana.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5.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permitir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eclesiástica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hace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referencia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pueda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ejercer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vigilancia,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entidades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mencionadas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presentar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Ordinario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competente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balance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anual,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modo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indique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propio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Ordinario.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11.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-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fuera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necesario,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hacer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público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hecho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actividad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determinado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responde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exigencias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enseñanzas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prohibiendo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consiguiente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uso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nombre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«católico»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adoptando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medidas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pertinentes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caso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aparecieran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responsabilidades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personales.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12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.-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diocesano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favorecer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nacional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internacional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bajo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solicitud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pastoral,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particular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cooperación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circunscripciones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eclesiásticas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más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pobres,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análogamente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cuanto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establecen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cánones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1274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CIC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1021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3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CCEO.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solicitud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pastoral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obras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según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circunstancias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tiempo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lugar,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pueden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ejercerla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conjuntamente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varios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diócesis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más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cercanas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respecto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más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conformidad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derecho.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tratase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ámbito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internacional,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preciso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consultar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preventivamente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proofErr w:type="spellStart"/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Dicasterio</w:t>
      </w:r>
      <w:proofErr w:type="spellEnd"/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competente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Santa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Sede.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Asimismo,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oportuno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ámbito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nacional,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consulte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oficina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correspondiente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Conferencia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Episcopal.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13.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-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autoridad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eclesiástica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lugar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conserva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siempre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íntegro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derecho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consentimiento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católicos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desarrollen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ámbito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lastRenderedPageBreak/>
        <w:t>competencia,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normativa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canónica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identidad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propia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Pastor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vigilar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actividades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realizadas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diócesis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lleven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cabo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conformemente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disciplina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eclesiástica,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prohibiéndolas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adoptando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medidas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necesarias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respetasen.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14.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-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Donde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oportuno,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Obispo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promueva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iniciativas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colaboración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otras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Comunidades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eclesiales,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salvando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peculiaridades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propias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cada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uno.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15.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-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Consejo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Pontificio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«</w:t>
      </w:r>
      <w:proofErr w:type="spellStart"/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Cor</w:t>
      </w:r>
      <w:proofErr w:type="spellEnd"/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proofErr w:type="spellStart"/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Unum</w:t>
      </w:r>
      <w:proofErr w:type="spellEnd"/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»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tiene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tarea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promover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aplicación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normativa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vigilar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aplique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todos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ámbitos,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perjuicio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competencia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Consejo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Pontificio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Laicos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sobre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asociaciones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fieles,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prevista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art.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133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Constitución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apostólica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hyperlink r:id="rId9" w:history="1"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Pastor</w:t>
        </w:r>
        <w:r w:rsidR="0033547C"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 xml:space="preserve"> </w:t>
        </w:r>
        <w:proofErr w:type="spellStart"/>
        <w:r w:rsidRPr="0033547C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es-ES_tradnl"/>
          </w:rPr>
          <w:t>Bonus</w:t>
        </w:r>
        <w:proofErr w:type="spellEnd"/>
      </w:hyperlink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así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Sección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Relaciones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Estados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Secretaría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Estado,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salvadas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competencias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generales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demás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proofErr w:type="spellStart"/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Dicasterios</w:t>
      </w:r>
      <w:proofErr w:type="spellEnd"/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Curia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Romana.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particular,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Consejo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Pontificio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«</w:t>
      </w:r>
      <w:proofErr w:type="spellStart"/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Cor</w:t>
      </w:r>
      <w:proofErr w:type="spellEnd"/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proofErr w:type="spellStart"/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Unum</w:t>
      </w:r>
      <w:proofErr w:type="spellEnd"/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»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debe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vigilar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instituciones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católicas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ámbito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internacional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desarrolle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siempre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comunión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respectivas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Iglesias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particulares.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§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2.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Análogamente,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compete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Consejo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Pontificio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«</w:t>
      </w:r>
      <w:proofErr w:type="spellStart"/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Cor</w:t>
      </w:r>
      <w:proofErr w:type="spellEnd"/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proofErr w:type="spellStart"/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Unum</w:t>
      </w:r>
      <w:proofErr w:type="spellEnd"/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»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erección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canónica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organismos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servicio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caridad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ámbito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internacional,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asumiendo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sucesivamente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tareas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disciplinarias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promoción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correspondan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derecho.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Ordeno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todo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he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deliberado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Carta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apostólica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forma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Motu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Proprio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observe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todas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sus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partes,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no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obstante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cualquier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disposición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contraria,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aunque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digna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particular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mención,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establezco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se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promulgue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mediante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la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publicación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periódico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«</w:t>
      </w:r>
      <w:proofErr w:type="spellStart"/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L'Osservatore</w:t>
      </w:r>
      <w:proofErr w:type="spellEnd"/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Romano»,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y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que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entre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vigor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10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diciembre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2012.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Dado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en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Vaticano,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el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día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11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noviembre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del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año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2012,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octavo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de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Nuestro</w:t>
      </w:r>
      <w:r w:rsidR="0033547C"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i/>
          <w:iCs/>
          <w:sz w:val="24"/>
          <w:szCs w:val="24"/>
          <w:lang w:eastAsia="es-ES_tradnl"/>
        </w:rPr>
        <w:t>Pontificado</w:t>
      </w:r>
      <w:r w:rsidRPr="0033547C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.</w:t>
      </w:r>
    </w:p>
    <w:p w:rsidR="00890CCA" w:rsidRPr="0033547C" w:rsidRDefault="00890CCA" w:rsidP="00890CC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BENEDICTUS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PP.</w:t>
      </w:r>
      <w:r w:rsidR="0033547C"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b/>
          <w:bCs/>
          <w:sz w:val="24"/>
          <w:szCs w:val="24"/>
          <w:lang w:eastAsia="es-ES_tradnl"/>
        </w:rPr>
        <w:t>XVI</w:t>
      </w:r>
    </w:p>
    <w:p w:rsidR="00890CCA" w:rsidRPr="0033547C" w:rsidRDefault="00890CCA" w:rsidP="0033547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>©</w:t>
      </w:r>
      <w:r w:rsidR="0033547C"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>Copyright</w:t>
      </w:r>
      <w:r w:rsidR="0033547C"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>2012</w:t>
      </w:r>
      <w:r w:rsidR="0033547C"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>-</w:t>
      </w:r>
      <w:r w:rsidR="0033547C"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 xml:space="preserve"> </w:t>
      </w:r>
      <w:proofErr w:type="spellStart"/>
      <w:r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>Libreria</w:t>
      </w:r>
      <w:proofErr w:type="spellEnd"/>
      <w:r w:rsidR="0033547C"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 xml:space="preserve"> </w:t>
      </w:r>
      <w:proofErr w:type="spellStart"/>
      <w:r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>Editrice</w:t>
      </w:r>
      <w:proofErr w:type="spellEnd"/>
      <w:r w:rsidR="0033547C"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 xml:space="preserve"> </w:t>
      </w:r>
      <w:r w:rsidRPr="0033547C">
        <w:rPr>
          <w:rFonts w:asciiTheme="majorHAnsi" w:eastAsia="Times New Roman" w:hAnsiTheme="majorHAnsi" w:cs="Times New Roman"/>
          <w:color w:val="663300"/>
          <w:sz w:val="24"/>
          <w:szCs w:val="24"/>
          <w:lang w:eastAsia="es-ES_tradnl"/>
        </w:rPr>
        <w:t>Vaticana</w:t>
      </w:r>
      <w:bookmarkStart w:id="0" w:name="_GoBack"/>
      <w:bookmarkEnd w:id="0"/>
    </w:p>
    <w:sectPr w:rsidR="00890CCA" w:rsidRPr="0033547C" w:rsidSect="00DA2F22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CA"/>
    <w:rsid w:val="0033547C"/>
    <w:rsid w:val="00890CCA"/>
    <w:rsid w:val="00D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roman_curia/congregations/cbishops/documents/rc_con_cbishops_doc_20040222_apostolorum-successores_s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tican.va/holy_father/benedict_xvi/encyclicals/documents/hf_ben-xvi_enc_20051225_deus-caritas-est_sp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tican.va/holy_father/benedict_xvi/encyclicals/documents/hf_ben-xvi_enc_20051225_deus-caritas-est_sp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tican.va/holy_father/benedict_xvi/encyclicals/documents/hf_ben-xvi_enc_20051225_deus-caritas-est_sp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holy_father/john_paul_ii/apost_constitutions/documents/hf_jp-ii_apc_19880628_pastor-bonus-index_s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2996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Transfiguracion</Company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Oldguy</dc:creator>
  <cp:keywords/>
  <dc:description/>
  <cp:lastModifiedBy>Oldguy</cp:lastModifiedBy>
  <cp:revision>3</cp:revision>
  <dcterms:created xsi:type="dcterms:W3CDTF">2012-12-04T00:24:00Z</dcterms:created>
  <dcterms:modified xsi:type="dcterms:W3CDTF">2012-12-04T00:25:00Z</dcterms:modified>
</cp:coreProperties>
</file>